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DA" w:rsidRDefault="001A2FDA" w:rsidP="001A2FDA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 xml:space="preserve">Контрольно-счетной палатой </w:t>
      </w:r>
      <w:proofErr w:type="gramStart"/>
      <w:r w:rsidRPr="006E563B">
        <w:rPr>
          <w:b/>
        </w:rPr>
        <w:t>муниципального</w:t>
      </w:r>
      <w:proofErr w:type="gramEnd"/>
    </w:p>
    <w:p w:rsidR="001A2FDA" w:rsidRDefault="001A2FDA" w:rsidP="001A2FDA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 xml:space="preserve"> образования Туапсинский муниципальный округ </w:t>
      </w:r>
    </w:p>
    <w:p w:rsidR="001A2FDA" w:rsidRDefault="001A2FDA" w:rsidP="001A2FDA">
      <w:pPr>
        <w:suppressAutoHyphens/>
        <w:spacing w:line="240" w:lineRule="auto"/>
        <w:ind w:firstLine="0"/>
        <w:jc w:val="center"/>
        <w:rPr>
          <w:b/>
        </w:rPr>
      </w:pPr>
      <w:r w:rsidRPr="006E563B">
        <w:rPr>
          <w:b/>
        </w:rPr>
        <w:t>Краснодарского края проведено контрольное мероприятие</w:t>
      </w:r>
    </w:p>
    <w:p w:rsidR="001A2FDA" w:rsidRPr="006E563B" w:rsidRDefault="001A2FDA" w:rsidP="001A2FDA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 w:rsidRPr="006E563B">
        <w:rPr>
          <w:b/>
        </w:rPr>
        <w:t xml:space="preserve"> «</w:t>
      </w:r>
      <w:r w:rsidRPr="006E563B"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1A2FDA" w:rsidRPr="001A2FDA" w:rsidRDefault="001A2FDA" w:rsidP="001A2FDA">
      <w:pPr>
        <w:spacing w:line="240" w:lineRule="auto"/>
        <w:jc w:val="center"/>
        <w:rPr>
          <w:b/>
          <w:szCs w:val="28"/>
        </w:rPr>
      </w:pPr>
      <w:r w:rsidRPr="006E563B">
        <w:rPr>
          <w:b/>
          <w:color w:val="000000"/>
          <w:szCs w:val="28"/>
        </w:rPr>
        <w:t xml:space="preserve">бюджетной отчетности </w:t>
      </w:r>
      <w:r w:rsidRPr="001A2FDA">
        <w:rPr>
          <w:b/>
          <w:szCs w:val="28"/>
        </w:rPr>
        <w:t>главного администратора средств</w:t>
      </w:r>
    </w:p>
    <w:p w:rsidR="001A2FDA" w:rsidRPr="001A2FDA" w:rsidRDefault="001A2FDA" w:rsidP="001A2FDA">
      <w:pPr>
        <w:spacing w:line="240" w:lineRule="auto"/>
        <w:jc w:val="center"/>
        <w:rPr>
          <w:b/>
          <w:szCs w:val="28"/>
        </w:rPr>
      </w:pPr>
      <w:r w:rsidRPr="001A2FDA">
        <w:rPr>
          <w:b/>
          <w:szCs w:val="28"/>
        </w:rPr>
        <w:t xml:space="preserve"> бюджета муниципального образования </w:t>
      </w:r>
    </w:p>
    <w:p w:rsidR="001A2FDA" w:rsidRPr="001A2FDA" w:rsidRDefault="001A2FDA" w:rsidP="001A2FDA">
      <w:pPr>
        <w:spacing w:line="240" w:lineRule="auto"/>
        <w:jc w:val="center"/>
        <w:rPr>
          <w:b/>
          <w:szCs w:val="28"/>
        </w:rPr>
      </w:pPr>
      <w:r w:rsidRPr="001A2FDA">
        <w:rPr>
          <w:b/>
          <w:szCs w:val="28"/>
        </w:rPr>
        <w:t xml:space="preserve">Туапсинский муниципальный округ </w:t>
      </w:r>
    </w:p>
    <w:p w:rsidR="001A2FDA" w:rsidRPr="001A2FDA" w:rsidRDefault="001A2FDA" w:rsidP="001A2FDA">
      <w:pPr>
        <w:spacing w:line="240" w:lineRule="auto"/>
        <w:jc w:val="center"/>
        <w:rPr>
          <w:b/>
          <w:szCs w:val="28"/>
        </w:rPr>
      </w:pPr>
      <w:r w:rsidRPr="001A2FDA">
        <w:rPr>
          <w:b/>
          <w:szCs w:val="28"/>
        </w:rPr>
        <w:t xml:space="preserve">Краснодарского края – управления по </w:t>
      </w:r>
      <w:proofErr w:type="gramStart"/>
      <w:r w:rsidRPr="001A2FDA">
        <w:rPr>
          <w:b/>
          <w:szCs w:val="28"/>
        </w:rPr>
        <w:t>физической</w:t>
      </w:r>
      <w:proofErr w:type="gramEnd"/>
      <w:r w:rsidRPr="001A2FDA">
        <w:rPr>
          <w:b/>
          <w:szCs w:val="28"/>
        </w:rPr>
        <w:t xml:space="preserve"> </w:t>
      </w:r>
    </w:p>
    <w:p w:rsidR="001A2FDA" w:rsidRPr="001A2FDA" w:rsidRDefault="001A2FDA" w:rsidP="001A2FDA">
      <w:pPr>
        <w:spacing w:line="240" w:lineRule="auto"/>
        <w:jc w:val="center"/>
        <w:rPr>
          <w:b/>
          <w:szCs w:val="28"/>
        </w:rPr>
      </w:pPr>
      <w:r w:rsidRPr="001A2FDA">
        <w:rPr>
          <w:b/>
          <w:szCs w:val="28"/>
        </w:rPr>
        <w:t>культуре и спорту администрации</w:t>
      </w:r>
    </w:p>
    <w:p w:rsidR="001A2FDA" w:rsidRPr="001A2FDA" w:rsidRDefault="001A2FDA" w:rsidP="001A2FDA">
      <w:pPr>
        <w:spacing w:line="240" w:lineRule="auto"/>
        <w:jc w:val="center"/>
        <w:rPr>
          <w:b/>
          <w:szCs w:val="28"/>
        </w:rPr>
      </w:pPr>
      <w:r w:rsidRPr="001A2FDA">
        <w:rPr>
          <w:b/>
          <w:szCs w:val="28"/>
        </w:rPr>
        <w:t xml:space="preserve"> муниципального образования </w:t>
      </w:r>
      <w:proofErr w:type="gramStart"/>
      <w:r w:rsidRPr="001A2FDA">
        <w:rPr>
          <w:b/>
          <w:szCs w:val="28"/>
        </w:rPr>
        <w:t>Туапсинский</w:t>
      </w:r>
      <w:proofErr w:type="gramEnd"/>
      <w:r w:rsidRPr="001A2FDA">
        <w:rPr>
          <w:b/>
          <w:szCs w:val="28"/>
        </w:rPr>
        <w:t xml:space="preserve"> </w:t>
      </w:r>
    </w:p>
    <w:p w:rsidR="001A2FDA" w:rsidRDefault="001A2FDA" w:rsidP="001A2FDA">
      <w:pPr>
        <w:spacing w:line="240" w:lineRule="auto"/>
        <w:jc w:val="center"/>
        <w:rPr>
          <w:b/>
          <w:color w:val="000000"/>
          <w:szCs w:val="28"/>
        </w:rPr>
      </w:pPr>
      <w:r w:rsidRPr="001A2FDA">
        <w:rPr>
          <w:b/>
          <w:szCs w:val="28"/>
        </w:rPr>
        <w:t>муниципальный округ Краснодарского края</w:t>
      </w:r>
      <w:r>
        <w:rPr>
          <w:b/>
          <w:szCs w:val="28"/>
        </w:rPr>
        <w:t xml:space="preserve"> за 2024 год</w:t>
      </w:r>
      <w:r w:rsidRPr="006E563B">
        <w:rPr>
          <w:b/>
          <w:color w:val="000000"/>
          <w:szCs w:val="28"/>
        </w:rPr>
        <w:t>»</w:t>
      </w:r>
    </w:p>
    <w:p w:rsidR="001A2FDA" w:rsidRDefault="001A2FDA" w:rsidP="001A2FDA">
      <w:pPr>
        <w:spacing w:line="240" w:lineRule="auto"/>
        <w:jc w:val="center"/>
        <w:rPr>
          <w:b/>
          <w:color w:val="000000"/>
          <w:szCs w:val="28"/>
        </w:rPr>
      </w:pPr>
    </w:p>
    <w:p w:rsidR="001A2FDA" w:rsidRPr="001A2FDA" w:rsidRDefault="001A2FDA" w:rsidP="001A2FDA">
      <w:pPr>
        <w:autoSpaceDE w:val="0"/>
        <w:autoSpaceDN w:val="0"/>
        <w:adjustRightInd w:val="0"/>
        <w:spacing w:line="240" w:lineRule="auto"/>
        <w:rPr>
          <w:color w:val="FF0000"/>
          <w:szCs w:val="28"/>
        </w:rPr>
      </w:pPr>
      <w:proofErr w:type="gramStart"/>
      <w:r w:rsidRPr="001A2FDA">
        <w:rPr>
          <w:szCs w:val="28"/>
        </w:rPr>
        <w:t>Представленная для внешней проверки годовая бюджетная отчётность управления по физической культуре и спорту администрации муниципального образования Туапсинский муниципальный округ Краснодарского края в  полной мере достоверно отражает во всех существенных отношениях финансовое положение на 01 января 2025 г. и результаты его финансово-хозяйственной деятельности за период с 01 января 2024 г. по  31 декабря  2024 г. включительно, в соответствии с требованиями законодательства</w:t>
      </w:r>
      <w:proofErr w:type="gramEnd"/>
      <w:r w:rsidRPr="001A2FDA">
        <w:rPr>
          <w:szCs w:val="28"/>
        </w:rPr>
        <w:t xml:space="preserve"> Российской Федерации, применимого в части подготовки годового отчёта главного администратора бюджетных средств.  </w:t>
      </w:r>
      <w:r w:rsidRPr="001A2FDA">
        <w:rPr>
          <w:color w:val="FF0000"/>
          <w:szCs w:val="28"/>
        </w:rPr>
        <w:t xml:space="preserve">  </w:t>
      </w:r>
    </w:p>
    <w:p w:rsidR="001A2FDA" w:rsidRPr="001A2FDA" w:rsidRDefault="001A2FDA" w:rsidP="001A2FDA">
      <w:pPr>
        <w:suppressAutoHyphens/>
        <w:spacing w:line="245" w:lineRule="auto"/>
        <w:rPr>
          <w:szCs w:val="28"/>
        </w:rPr>
      </w:pPr>
      <w:r w:rsidRPr="001A2FDA">
        <w:rPr>
          <w:szCs w:val="28"/>
        </w:rPr>
        <w:t>Объем проверенных средств бюджета за отчетный период составил 262 864 712,97 рублей.</w:t>
      </w:r>
    </w:p>
    <w:p w:rsidR="001A2FDA" w:rsidRPr="001A2FDA" w:rsidRDefault="001A2FDA" w:rsidP="001A2FDA">
      <w:pPr>
        <w:suppressAutoHyphens/>
        <w:spacing w:before="60" w:line="245" w:lineRule="auto"/>
        <w:rPr>
          <w:szCs w:val="28"/>
        </w:rPr>
      </w:pPr>
      <w:r w:rsidRPr="001A2FDA">
        <w:rPr>
          <w:szCs w:val="28"/>
        </w:rPr>
        <w:t>Вместе с тем, проверкой установлено:</w:t>
      </w:r>
    </w:p>
    <w:p w:rsidR="001A2FDA" w:rsidRPr="001A2FDA" w:rsidRDefault="001A2FDA" w:rsidP="001A2FDA">
      <w:pPr>
        <w:suppressAutoHyphens/>
        <w:spacing w:line="245" w:lineRule="auto"/>
        <w:rPr>
          <w:szCs w:val="28"/>
        </w:rPr>
      </w:pPr>
      <w:r w:rsidRPr="001A2FDA">
        <w:rPr>
          <w:szCs w:val="28"/>
        </w:rPr>
        <w:t xml:space="preserve">1. </w:t>
      </w:r>
      <w:proofErr w:type="gramStart"/>
      <w:r w:rsidRPr="001A2FDA">
        <w:rPr>
          <w:szCs w:val="28"/>
        </w:rPr>
        <w:t xml:space="preserve">В нарушение п. 170.2 Инструкции о порядке составления и представления годовой, квартальной и месячной отчетности об исполнении бюджетов бюджетной системы РФ (утв. приказом Минфина России </w:t>
      </w:r>
      <w:r>
        <w:rPr>
          <w:szCs w:val="28"/>
        </w:rPr>
        <w:t xml:space="preserve">                     </w:t>
      </w:r>
      <w:r w:rsidRPr="001A2FDA">
        <w:rPr>
          <w:szCs w:val="28"/>
        </w:rPr>
        <w:t>от 28.12.2010 года) № 191н в графах 5,6 «Сведений о принятых и неисполненных обязательствах получателя бюджетных средств» (ф. 0503175) не указаны идентификационный номер налогоплательщика (ИНН) и наименование контрагента.</w:t>
      </w:r>
      <w:proofErr w:type="gramEnd"/>
    </w:p>
    <w:p w:rsidR="001A2FDA" w:rsidRPr="001A2FDA" w:rsidRDefault="001A2FDA" w:rsidP="001A2FDA">
      <w:pPr>
        <w:suppressAutoHyphens/>
        <w:spacing w:line="245" w:lineRule="auto"/>
        <w:rPr>
          <w:szCs w:val="28"/>
        </w:rPr>
      </w:pPr>
      <w:r w:rsidRPr="001A2FDA">
        <w:rPr>
          <w:szCs w:val="28"/>
        </w:rPr>
        <w:t xml:space="preserve">2. В нарушение п. 163 Инструкции о порядке составления и представления годовой, квартальной и месячной отчетности об исполнении бюджетов бюджетной системы РФ (утв. приказом Минфина России от 28.12.2010 года) № 191н не раскрыты причины отклонений фактического исполнения расходов бюджета в Таблице № 13 Пояснительной записки </w:t>
      </w:r>
      <w:r>
        <w:rPr>
          <w:szCs w:val="28"/>
        </w:rPr>
        <w:t xml:space="preserve">                </w:t>
      </w:r>
      <w:r w:rsidRPr="001A2FDA">
        <w:rPr>
          <w:szCs w:val="28"/>
        </w:rPr>
        <w:t>(ф. 0503160).</w:t>
      </w:r>
    </w:p>
    <w:p w:rsidR="001A2FDA" w:rsidRPr="001A2FDA" w:rsidRDefault="001A2FDA" w:rsidP="001A2FDA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1A2FDA">
        <w:rPr>
          <w:szCs w:val="28"/>
        </w:rPr>
        <w:t xml:space="preserve">3. </w:t>
      </w:r>
      <w:proofErr w:type="gramStart"/>
      <w:r w:rsidRPr="001A2FDA">
        <w:rPr>
          <w:szCs w:val="28"/>
        </w:rPr>
        <w:t>В</w:t>
      </w:r>
      <w:r w:rsidRPr="001A2FDA">
        <w:rPr>
          <w:i/>
          <w:szCs w:val="28"/>
        </w:rPr>
        <w:t xml:space="preserve"> </w:t>
      </w:r>
      <w:r w:rsidRPr="001A2FDA">
        <w:rPr>
          <w:szCs w:val="28"/>
        </w:rPr>
        <w:t xml:space="preserve">нарушение п.6,7 Приказа Минфина России от 07.12.2018 г. № 256н «Об утверждении федерального стандарта бухгалтерского учета для организаций государственного сектора «Запасы», п.99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Pr="001A2FDA">
        <w:rPr>
          <w:szCs w:val="28"/>
        </w:rPr>
        <w:lastRenderedPageBreak/>
        <w:t>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1A2FDA">
        <w:rPr>
          <w:szCs w:val="28"/>
        </w:rPr>
        <w:t xml:space="preserve"> его применению» на счете 1.105.36 «Прочие материальные запасы – иное движимое имущество учреждения» учитывается нефинансовые активы на сумму 1 418,68 рублей, которые по нормативным определениям (ФСБУ «Основные средства») относятся к основным средствам. Данные нефинансовые активы должны быть определены по группам ОКОФ и отнесены на соответствующие счета учета.</w:t>
      </w:r>
    </w:p>
    <w:p w:rsidR="001A2FDA" w:rsidRDefault="001A2FDA" w:rsidP="001A2FDA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r w:rsidRPr="001A2FDA">
        <w:rPr>
          <w:szCs w:val="28"/>
        </w:rPr>
        <w:t xml:space="preserve">4. </w:t>
      </w:r>
      <w:proofErr w:type="gramStart"/>
      <w:r w:rsidRPr="001A2FDA">
        <w:rPr>
          <w:szCs w:val="28"/>
        </w:rPr>
        <w:t>В нарушение п.1 статьи 9 Федерального закона от 06.12.2011</w:t>
      </w:r>
      <w:r>
        <w:rPr>
          <w:szCs w:val="28"/>
        </w:rPr>
        <w:t xml:space="preserve">                 </w:t>
      </w:r>
      <w:r w:rsidRPr="001A2FDA">
        <w:rPr>
          <w:szCs w:val="28"/>
        </w:rPr>
        <w:t xml:space="preserve"> №  402-ФЗ «О бухгалтерском учете», п.20 Приказа Минфина России от 31.12.2016 </w:t>
      </w:r>
      <w:r>
        <w:rPr>
          <w:szCs w:val="28"/>
        </w:rPr>
        <w:t xml:space="preserve"> </w:t>
      </w:r>
      <w:bookmarkStart w:id="0" w:name="_GoBack"/>
      <w:bookmarkEnd w:id="0"/>
      <w:r w:rsidRPr="001A2FDA">
        <w:rPr>
          <w:szCs w:val="28"/>
        </w:rPr>
        <w:t>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суммы дебиторской задолженности Управления актами сверки с поставщиками, подрядчиками и прочими дебиторами не подтверждены.</w:t>
      </w:r>
      <w:proofErr w:type="gramEnd"/>
    </w:p>
    <w:p w:rsidR="001A2FDA" w:rsidRPr="006E563B" w:rsidRDefault="001A2FDA" w:rsidP="001A2FDA">
      <w:pPr>
        <w:pStyle w:val="a3"/>
        <w:spacing w:before="20" w:line="247" w:lineRule="auto"/>
        <w:ind w:left="0" w:right="65" w:firstLine="709"/>
        <w:jc w:val="both"/>
        <w:rPr>
          <w:sz w:val="28"/>
          <w:szCs w:val="28"/>
        </w:rPr>
      </w:pPr>
      <w:r>
        <w:rPr>
          <w:szCs w:val="28"/>
        </w:rPr>
        <w:t>5.</w:t>
      </w:r>
      <w:r w:rsidRPr="001A2FDA">
        <w:rPr>
          <w:rFonts w:eastAsia="Calibri"/>
          <w:szCs w:val="28"/>
          <w:lang w:eastAsia="en-US"/>
        </w:rPr>
        <w:t xml:space="preserve"> </w:t>
      </w:r>
      <w:r w:rsidRPr="006E563B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6E563B">
        <w:rPr>
          <w:sz w:val="28"/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</w:t>
      </w:r>
      <w:r>
        <w:rPr>
          <w:sz w:val="28"/>
          <w:szCs w:val="28"/>
        </w:rPr>
        <w:t xml:space="preserve"> направлен</w:t>
      </w:r>
      <w:r w:rsidRPr="006E563B">
        <w:rPr>
          <w:sz w:val="28"/>
          <w:szCs w:val="28"/>
        </w:rPr>
        <w:t>:</w:t>
      </w:r>
    </w:p>
    <w:p w:rsidR="001A2FDA" w:rsidRPr="006E563B" w:rsidRDefault="001A2FDA" w:rsidP="001A2FDA">
      <w:pPr>
        <w:tabs>
          <w:tab w:val="left" w:pos="2086"/>
        </w:tabs>
        <w:spacing w:line="247" w:lineRule="auto"/>
        <w:rPr>
          <w:szCs w:val="28"/>
        </w:rPr>
      </w:pPr>
      <w:r w:rsidRPr="006E563B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1A2FDA" w:rsidRPr="006E563B" w:rsidRDefault="001A2FDA" w:rsidP="001A2FDA">
      <w:pPr>
        <w:tabs>
          <w:tab w:val="left" w:pos="2086"/>
        </w:tabs>
        <w:spacing w:line="247" w:lineRule="auto"/>
        <w:rPr>
          <w:szCs w:val="28"/>
        </w:rPr>
      </w:pPr>
      <w:r w:rsidRPr="006E563B">
        <w:rPr>
          <w:szCs w:val="28"/>
        </w:rPr>
        <w:t>главе Туапсинского муниципального округа.</w:t>
      </w:r>
    </w:p>
    <w:p w:rsidR="001A2FDA" w:rsidRPr="001A2FDA" w:rsidRDefault="001A2FDA" w:rsidP="001A2FDA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1A2FDA" w:rsidRPr="001A2FDA" w:rsidRDefault="001A2FDA" w:rsidP="001A2FDA">
      <w:pPr>
        <w:autoSpaceDE w:val="0"/>
        <w:autoSpaceDN w:val="0"/>
        <w:adjustRightInd w:val="0"/>
        <w:spacing w:line="240" w:lineRule="auto"/>
        <w:outlineLvl w:val="1"/>
        <w:rPr>
          <w:b/>
          <w:i/>
          <w:szCs w:val="28"/>
        </w:rPr>
      </w:pPr>
    </w:p>
    <w:p w:rsidR="001A2FDA" w:rsidRDefault="001A2FDA" w:rsidP="001A2FDA">
      <w:pPr>
        <w:spacing w:line="240" w:lineRule="auto"/>
        <w:jc w:val="center"/>
        <w:rPr>
          <w:b/>
          <w:color w:val="000000"/>
          <w:szCs w:val="28"/>
        </w:rPr>
      </w:pPr>
    </w:p>
    <w:p w:rsidR="00FE5B8D" w:rsidRDefault="00FE5B8D"/>
    <w:sectPr w:rsidR="00FE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3C"/>
    <w:rsid w:val="001A2FDA"/>
    <w:rsid w:val="0090203C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FDA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FDA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2025-07-08T07:29:00Z</dcterms:created>
  <dcterms:modified xsi:type="dcterms:W3CDTF">2025-07-08T07:33:00Z</dcterms:modified>
</cp:coreProperties>
</file>